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ROSAC0112ZPB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Mlaca Tătarilor</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0,70</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19,01%</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Sibiu</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0,70</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Rezervație naturală RONPA0897 Lacul Tătarilor</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1156/2016 privind aprobarea Planului de management şi Regulamentului siturilor Natura 2000 ROSCI0122 Munţii Făgăraş şi ROSPA0098 Piemontul Făgăraş.</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5"/>
        <w:gridCol w:w="4505"/>
        <w:tblGridChange w:id="0">
          <w:tblGrid>
            <w:gridCol w:w="4495"/>
            <w:gridCol w:w="45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turbării acide cu Sphagnum:</w:t>
            </w:r>
          </w:p>
          <w:p w:rsidR="00000000" w:rsidDel="00000000" w:rsidP="00000000" w:rsidRDefault="00000000" w:rsidRPr="00000000" w14:paraId="0000007E">
            <w:pPr>
              <w:spacing w:after="0" w:lineRule="auto"/>
              <w:jc w:val="both"/>
              <w:rPr>
                <w:i w:val="1"/>
                <w:iCs w:val="1"/>
              </w:rPr>
            </w:pPr>
            <w:r w:rsidDel="00000000" w:rsidR="00000000" w:rsidRPr="00000000">
              <w:rPr>
                <w:i w:val="1"/>
                <w:iCs w:val="1"/>
                <w:sz w:val="22"/>
                <w:szCs w:val="22"/>
                <w:rtl w:val="0"/>
              </w:rPr>
              <w:t xml:space="preserve">7110* Tinoave bombate active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A091 Aquila chrysaetos</w:t>
            </w:r>
            <w:r w:rsidDel="00000000" w:rsidR="00000000" w:rsidRPr="00000000">
              <w:rPr>
                <w:i w:val="1"/>
                <w:iCs w:val="1"/>
                <w:rtl w:val="0"/>
              </w:rPr>
              <w:br w:type="textWrapping"/>
            </w:r>
            <w:r w:rsidDel="00000000" w:rsidR="00000000" w:rsidRPr="00000000">
              <w:rPr>
                <w:i w:val="1"/>
                <w:iCs w:val="1"/>
                <w:sz w:val="22"/>
                <w:szCs w:val="22"/>
                <w:rtl w:val="0"/>
              </w:rPr>
              <w:t xml:space="preserve">A089 Aquila pomarina</w:t>
            </w:r>
            <w:r w:rsidDel="00000000" w:rsidR="00000000" w:rsidRPr="00000000">
              <w:rPr>
                <w:i w:val="1"/>
                <w:iCs w:val="1"/>
                <w:rtl w:val="0"/>
              </w:rPr>
              <w:br w:type="textWrapping"/>
            </w:r>
            <w:r w:rsidDel="00000000" w:rsidR="00000000" w:rsidRPr="00000000">
              <w:rPr>
                <w:i w:val="1"/>
                <w:iCs w:val="1"/>
                <w:sz w:val="22"/>
                <w:szCs w:val="22"/>
                <w:rtl w:val="0"/>
              </w:rPr>
              <w:t xml:space="preserve">A031 Ciconia ciconia</w:t>
            </w:r>
            <w:r w:rsidDel="00000000" w:rsidR="00000000" w:rsidRPr="00000000">
              <w:rPr>
                <w:i w:val="1"/>
                <w:iCs w:val="1"/>
                <w:rtl w:val="0"/>
              </w:rPr>
              <w:br w:type="textWrapping"/>
            </w:r>
            <w:r w:rsidDel="00000000" w:rsidR="00000000" w:rsidRPr="00000000">
              <w:rPr>
                <w:i w:val="1"/>
                <w:iCs w:val="1"/>
                <w:sz w:val="22"/>
                <w:szCs w:val="22"/>
                <w:rtl w:val="0"/>
              </w:rPr>
              <w:t xml:space="preserve">A030 Ciconia nigra</w:t>
            </w:r>
            <w:r w:rsidDel="00000000" w:rsidR="00000000" w:rsidRPr="00000000">
              <w:rPr>
                <w:i w:val="1"/>
                <w:iCs w:val="1"/>
                <w:rtl w:val="0"/>
              </w:rPr>
              <w:br w:type="textWrapping"/>
            </w:r>
            <w:r w:rsidDel="00000000" w:rsidR="00000000" w:rsidRPr="00000000">
              <w:rPr>
                <w:i w:val="1"/>
                <w:iCs w:val="1"/>
                <w:sz w:val="22"/>
                <w:szCs w:val="22"/>
                <w:rtl w:val="0"/>
              </w:rPr>
              <w:t xml:space="preserve">A080 Circaetus gallicus</w:t>
            </w:r>
            <w:r w:rsidDel="00000000" w:rsidR="00000000" w:rsidRPr="00000000">
              <w:rPr>
                <w:i w:val="1"/>
                <w:iCs w:val="1"/>
                <w:rtl w:val="0"/>
              </w:rPr>
              <w:br w:type="textWrapping"/>
            </w:r>
            <w:r w:rsidDel="00000000" w:rsidR="00000000" w:rsidRPr="00000000">
              <w:rPr>
                <w:i w:val="1"/>
                <w:iCs w:val="1"/>
                <w:sz w:val="22"/>
                <w:szCs w:val="22"/>
                <w:rtl w:val="0"/>
              </w:rPr>
              <w:t xml:space="preserve">A081 Circus aeruginosus</w:t>
            </w:r>
            <w:r w:rsidDel="00000000" w:rsidR="00000000" w:rsidRPr="00000000">
              <w:rPr>
                <w:i w:val="1"/>
                <w:iCs w:val="1"/>
                <w:rtl w:val="0"/>
              </w:rPr>
              <w:br w:type="textWrapping"/>
            </w:r>
            <w:r w:rsidDel="00000000" w:rsidR="00000000" w:rsidRPr="00000000">
              <w:rPr>
                <w:i w:val="1"/>
                <w:iCs w:val="1"/>
                <w:sz w:val="22"/>
                <w:szCs w:val="22"/>
                <w:rtl w:val="0"/>
              </w:rPr>
              <w:t xml:space="preserve">A082 Circus cyaneus</w:t>
            </w:r>
            <w:r w:rsidDel="00000000" w:rsidR="00000000" w:rsidRPr="00000000">
              <w:rPr>
                <w:i w:val="1"/>
                <w:iCs w:val="1"/>
                <w:rtl w:val="0"/>
              </w:rPr>
              <w:br w:type="textWrapping"/>
            </w:r>
            <w:r w:rsidDel="00000000" w:rsidR="00000000" w:rsidRPr="00000000">
              <w:rPr>
                <w:i w:val="1"/>
                <w:iCs w:val="1"/>
                <w:sz w:val="22"/>
                <w:szCs w:val="22"/>
                <w:rtl w:val="0"/>
              </w:rPr>
              <w:t xml:space="preserve">A122 Crex crex</w:t>
            </w:r>
            <w:r w:rsidDel="00000000" w:rsidR="00000000" w:rsidRPr="00000000">
              <w:rPr>
                <w:i w:val="1"/>
                <w:iCs w:val="1"/>
                <w:rtl w:val="0"/>
              </w:rPr>
              <w:br w:type="textWrapping"/>
            </w:r>
            <w:r w:rsidDel="00000000" w:rsidR="00000000" w:rsidRPr="00000000">
              <w:rPr>
                <w:i w:val="1"/>
                <w:iCs w:val="1"/>
                <w:sz w:val="22"/>
                <w:szCs w:val="22"/>
                <w:rtl w:val="0"/>
              </w:rPr>
              <w:t xml:space="preserve">A103 Falco peregrinus</w:t>
            </w:r>
            <w:r w:rsidDel="00000000" w:rsidR="00000000" w:rsidRPr="00000000">
              <w:rPr>
                <w:i w:val="1"/>
                <w:iCs w:val="1"/>
                <w:rtl w:val="0"/>
              </w:rPr>
              <w:br w:type="textWrapping"/>
            </w:r>
            <w:r w:rsidDel="00000000" w:rsidR="00000000" w:rsidRPr="00000000">
              <w:rPr>
                <w:i w:val="1"/>
                <w:iCs w:val="1"/>
                <w:sz w:val="22"/>
                <w:szCs w:val="22"/>
                <w:rtl w:val="0"/>
              </w:rPr>
              <w:t xml:space="preserve">A338 Lanius collurio</w:t>
            </w:r>
            <w:r w:rsidDel="00000000" w:rsidR="00000000" w:rsidRPr="00000000">
              <w:rPr>
                <w:i w:val="1"/>
                <w:iCs w:val="1"/>
                <w:rtl w:val="0"/>
              </w:rPr>
              <w:br w:type="textWrapping"/>
            </w:r>
            <w:r w:rsidDel="00000000" w:rsidR="00000000" w:rsidRPr="00000000">
              <w:rPr>
                <w:i w:val="1"/>
                <w:iCs w:val="1"/>
                <w:sz w:val="22"/>
                <w:szCs w:val="22"/>
                <w:rtl w:val="0"/>
              </w:rPr>
              <w:t xml:space="preserve">A246 Lullula arborea</w:t>
              <w:br w:type="textWrapping"/>
              <w:t xml:space="preserve">A072 Pernis apivorus</w:t>
            </w:r>
          </w:p>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1203 Hyla arborea </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1213 Rana temporaria</w:t>
            </w:r>
          </w:p>
        </w:tc>
      </w:tr>
      <w:tr>
        <w:trPr>
          <w:cantSplit w:val="0"/>
          <w:trHeight w:val="58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Zonă management activ pentru celelalte, cu rezervație naturală, care cuprinde habitate de turbării acide cu </w:t>
            </w:r>
            <w:r w:rsidDel="00000000" w:rsidR="00000000" w:rsidRPr="00000000">
              <w:rPr>
                <w:i w:val="1"/>
                <w:iCs w:val="1"/>
                <w:sz w:val="22"/>
                <w:szCs w:val="22"/>
                <w:rtl w:val="0"/>
              </w:rPr>
              <w:t xml:space="preserve">Sphagnum</w:t>
            </w:r>
            <w:r w:rsidDel="00000000" w:rsidR="00000000" w:rsidRPr="00000000">
              <w:rPr>
                <w:sz w:val="22"/>
                <w:szCs w:val="22"/>
                <w:rtl w:val="0"/>
              </w:rPr>
              <w:t xml:space="preserve"> - </w:t>
            </w:r>
            <w:r w:rsidDel="00000000" w:rsidR="00000000" w:rsidRPr="00000000">
              <w:rPr>
                <w:i w:val="1"/>
                <w:iCs w:val="1"/>
                <w:sz w:val="22"/>
                <w:szCs w:val="22"/>
                <w:rtl w:val="0"/>
              </w:rPr>
              <w:t xml:space="preserve">7110* Tinoave bombate active</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De asemenea aici sunt prezente mai multe specii de păsări și amfibieni de interes conservativ.</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Turbăriile și mlaștinile reprezintă habitate rare cu floră relictă (sphagnale, plante carnivore), rezervoare importante de carbon și indicator al regimului hidrologic intact.</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Turbăriile reprezintă un rezervor major de carbon stocat în sol, cu rol important în reducerea efectelor schimbărilor climatice.</w:t>
            </w:r>
          </w:p>
          <w:p w:rsidR="00000000" w:rsidDel="00000000" w:rsidP="00000000" w:rsidRDefault="00000000" w:rsidRPr="00000000" w14:paraId="0000008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turbării, precum și pe prezența speciilor de interes conservativ asociate.</w:t>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sz w:val="22"/>
                <w:szCs w:val="22"/>
              </w:rPr>
            </w:pPr>
            <w:r w:rsidDel="00000000" w:rsidR="00000000" w:rsidRPr="00000000">
              <w:rPr>
                <w:sz w:val="22"/>
                <w:szCs w:val="22"/>
                <w:rtl w:val="0"/>
              </w:rPr>
              <w:t xml:space="preserve">F04 Luare/prelevare de plante terestre, in general</w:t>
            </w:r>
          </w:p>
          <w:p w:rsidR="00000000" w:rsidDel="00000000" w:rsidP="00000000" w:rsidRDefault="00000000" w:rsidRPr="00000000" w14:paraId="00000090">
            <w:pPr>
              <w:spacing w:after="0" w:lineRule="auto"/>
              <w:rPr>
                <w:sz w:val="22"/>
                <w:szCs w:val="22"/>
                <w:highlight w:val="yellow"/>
              </w:rPr>
            </w:pPr>
            <w:r w:rsidDel="00000000" w:rsidR="00000000" w:rsidRPr="00000000">
              <w:rPr>
                <w:sz w:val="22"/>
                <w:szCs w:val="22"/>
                <w:rtl w:val="0"/>
              </w:rPr>
              <w:t xml:space="preserve">K01.03 Secare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Obiective și măsuri de management activ pentru ecosistemele de turbării </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Pop Em., 1954, Studii botanice în mlaştinile noastre de turbă, Bul. Şt., Acad. R.P.R., Secţ. Şt. Biol., Agron., Geol., Geogr., VI, 1: 347-406 + 8 fig.</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Tanţău, I., Reille, M., Fărcaş, S., Grindean, R., de Beaulieu, J.-L., 2020  Mlaca Tătarilor peat bog, Southern Transylvania (Romania). GRANA: EPDB 47. Published online: 23 Jun 2020.</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23 septembrie 2024 – Sibiu, 24 februarie 2026 - consultare Prefectură – jud. Sibiu</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23 ianuarie 2026 cu participarea factorilor interesați relevanți din județul Sibiu.</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2">
      <w:pPr>
        <w:rPr>
          <w:sz w:val="22"/>
          <w:szCs w:val="22"/>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p17OIW9XLsqkIOZ8bbiZ+V0Dxg==">CgMxLjA4AHIhMXB4UWpDU2ZzNEJrVm1ISDBNbWswOEhBQTF2N3loN3N2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